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2058" w:leader="none"/>
        </w:tabs>
        <w:ind w:right="480" w:hanging="0"/>
        <w:jc w:val="right"/>
        <w:rPr>
          <w:rFonts w:cs="Arial"/>
          <w:b/>
          <w:b/>
          <w:iCs/>
          <w:sz w:val="21"/>
          <w:szCs w:val="21"/>
        </w:rPr>
      </w:pPr>
      <w:r>
        <w:rPr>
          <w:rFonts w:cs="Arial"/>
          <w:b/>
          <w:iCs/>
          <w:sz w:val="21"/>
          <w:szCs w:val="21"/>
        </w:rPr>
      </w:r>
    </w:p>
    <w:p>
      <w:pPr>
        <w:pStyle w:val="Normal"/>
        <w:tabs>
          <w:tab w:val="clear" w:pos="708"/>
          <w:tab w:val="left" w:pos="2058" w:leader="none"/>
        </w:tabs>
        <w:jc w:val="center"/>
        <w:rPr>
          <w:rFonts w:ascii="Times New Roman" w:hAnsi="Times New Roman" w:cs="Arial"/>
          <w:b/>
          <w:b/>
          <w:sz w:val="21"/>
          <w:szCs w:val="21"/>
        </w:rPr>
      </w:pPr>
      <w:r>
        <w:rPr>
          <w:rFonts w:cs="Arial"/>
          <w:b/>
          <w:sz w:val="21"/>
          <w:szCs w:val="21"/>
        </w:rPr>
      </w:r>
    </w:p>
    <w:p>
      <w:pPr>
        <w:pStyle w:val="Normal"/>
        <w:jc w:val="center"/>
        <w:textAlignment w:val="baseline"/>
        <w:rPr>
          <w:sz w:val="21"/>
          <w:szCs w:val="21"/>
        </w:rPr>
      </w:pPr>
      <w:r>
        <w:rPr>
          <w:b w:val="false"/>
          <w:bCs w:val="false"/>
          <w:color w:val="000000"/>
          <w:sz w:val="21"/>
          <w:szCs w:val="21"/>
        </w:rPr>
        <w:t>załącznik nr 2</w:t>
      </w:r>
      <w:r>
        <w:rPr>
          <w:rFonts w:eastAsia="Times New Roman" w:cs="Times New Roman"/>
          <w:b w:val="false"/>
          <w:bCs w:val="false"/>
          <w:color w:val="000000"/>
          <w:kern w:val="0"/>
          <w:sz w:val="21"/>
          <w:szCs w:val="21"/>
          <w:lang w:val="pl-PL" w:eastAsia="pl-PL" w:bidi="ar-SA"/>
        </w:rPr>
        <w:t>.2</w:t>
      </w:r>
      <w:r>
        <w:rPr>
          <w:b w:val="false"/>
          <w:bCs w:val="false"/>
          <w:color w:val="000000"/>
          <w:sz w:val="21"/>
          <w:szCs w:val="21"/>
        </w:rPr>
        <w:t xml:space="preserve"> do SWZ (załączyć do oferty)</w:t>
      </w:r>
    </w:p>
    <w:p>
      <w:pPr>
        <w:pStyle w:val="Normal"/>
        <w:jc w:val="center"/>
        <w:textAlignment w:val="baseline"/>
        <w:rPr>
          <w:rFonts w:ascii="Times New Roman" w:hAnsi="Times New Roman"/>
          <w:b/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</w:r>
    </w:p>
    <w:p>
      <w:pPr>
        <w:pStyle w:val="Normal"/>
        <w:jc w:val="center"/>
        <w:textAlignment w:val="baseline"/>
        <w:rPr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OPIS PRZEDMIOTU ZAMÓWIENIA</w:t>
      </w:r>
    </w:p>
    <w:p>
      <w:pPr>
        <w:pStyle w:val="Normal"/>
        <w:jc w:val="center"/>
        <w:textAlignment w:val="baseline"/>
        <w:rPr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(wymagane minimalne parametry techniczno-funkcjonalne)</w:t>
      </w:r>
    </w:p>
    <w:p>
      <w:pPr>
        <w:pStyle w:val="Akapitzlist"/>
        <w:ind w:left="0" w:right="0" w:hanging="0"/>
        <w:rPr>
          <w:rFonts w:ascii="Times New Roman" w:hAnsi="Times New Roman" w:cs="Times New Roman"/>
          <w:b/>
          <w:b/>
          <w:bCs/>
          <w:color w:val="000000"/>
          <w:sz w:val="21"/>
          <w:szCs w:val="21"/>
        </w:rPr>
      </w:pPr>
      <w:r>
        <w:rPr>
          <w:rFonts w:cs="Times New Roman" w:ascii="Times New Roman" w:hAnsi="Times New Roman"/>
          <w:b/>
          <w:bCs/>
          <w:color w:val="000000"/>
          <w:sz w:val="21"/>
          <w:szCs w:val="21"/>
        </w:rPr>
      </w:r>
    </w:p>
    <w:p>
      <w:pPr>
        <w:pStyle w:val="Normal"/>
        <w:tabs>
          <w:tab w:val="clear" w:pos="708"/>
          <w:tab w:val="left" w:pos="2058" w:leader="none"/>
        </w:tabs>
        <w:spacing w:before="280" w:after="0"/>
        <w:jc w:val="left"/>
        <w:rPr>
          <w:sz w:val="21"/>
          <w:szCs w:val="21"/>
        </w:rPr>
      </w:pPr>
      <w:r>
        <w:rPr>
          <w:rFonts w:eastAsia="Calibri" w:cs="Arial"/>
          <w:b/>
          <w:bCs/>
          <w:color w:val="000000"/>
          <w:kern w:val="0"/>
          <w:sz w:val="21"/>
          <w:szCs w:val="21"/>
          <w:u w:val="single"/>
          <w:lang w:val="pl-PL" w:eastAsia="en-US" w:bidi="ar-SA"/>
        </w:rPr>
        <w:t xml:space="preserve">Pakiet nr 2 </w:t>
      </w:r>
      <w:r>
        <w:rPr>
          <w:rFonts w:eastAsia="Times New Roman" w:cs="Arial"/>
          <w:b w:val="false"/>
          <w:bCs w:val="false"/>
          <w:color w:val="000000"/>
          <w:kern w:val="0"/>
          <w:sz w:val="21"/>
          <w:szCs w:val="21"/>
          <w:u w:val="none"/>
          <w:shd w:fill="FFFFFF" w:val="clear"/>
          <w:lang w:val="pl-PL" w:eastAsia="en-US" w:bidi="ar-SA"/>
        </w:rPr>
        <w:t xml:space="preserve"> </w:t>
      </w:r>
      <w:r>
        <w:rPr>
          <w:rFonts w:eastAsia="Times New Roman" w:cs="Arial"/>
          <w:b w:val="false"/>
          <w:bCs w:val="false"/>
          <w:color w:val="000000"/>
          <w:kern w:val="0"/>
          <w:sz w:val="21"/>
          <w:szCs w:val="21"/>
          <w:highlight w:val="white"/>
          <w:u w:val="none"/>
          <w:shd w:fill="FFFFFF" w:val="clear"/>
          <w:lang w:val="pl-PL" w:eastAsia="en-US" w:bidi="ar-SA"/>
        </w:rPr>
        <w:t>Aparat USG mobilne -  ogólno-diagnostyczna z 3 głowicami w tym   z głowicą Endovaginalą</w:t>
      </w:r>
    </w:p>
    <w:p>
      <w:pPr>
        <w:pStyle w:val="Normal"/>
        <w:tabs>
          <w:tab w:val="clear" w:pos="708"/>
          <w:tab w:val="left" w:pos="2058" w:leader="none"/>
        </w:tabs>
        <w:jc w:val="center"/>
        <w:rPr>
          <w:rFonts w:ascii="Times New Roman" w:hAnsi="Times New Roman" w:cs="Arial"/>
          <w:b/>
          <w:b/>
          <w:sz w:val="21"/>
          <w:szCs w:val="21"/>
        </w:rPr>
      </w:pPr>
      <w:r>
        <w:rPr>
          <w:rFonts w:cs="Arial"/>
          <w:b/>
          <w:sz w:val="21"/>
          <w:szCs w:val="21"/>
        </w:rPr>
      </w:r>
    </w:p>
    <w:tbl>
      <w:tblPr>
        <w:tblW w:w="5000" w:type="pct"/>
        <w:jc w:val="left"/>
        <w:tblInd w:w="-299" w:type="dxa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643"/>
        <w:gridCol w:w="4598"/>
        <w:gridCol w:w="1279"/>
        <w:gridCol w:w="2551"/>
      </w:tblGrid>
      <w:tr>
        <w:trPr>
          <w:trHeight w:val="433" w:hRule="atLeast"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b/>
                <w:b/>
                <w:bCs/>
                <w:sz w:val="21"/>
                <w:szCs w:val="21"/>
              </w:rPr>
            </w:pPr>
            <w:r>
              <w:rPr>
                <w:rFonts w:cs="Tahoma"/>
                <w:b/>
                <w:bCs/>
                <w:sz w:val="21"/>
                <w:szCs w:val="21"/>
              </w:rPr>
            </w:r>
          </w:p>
        </w:tc>
        <w:tc>
          <w:tcPr>
            <w:tcW w:w="842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b/>
                <w:bCs/>
                <w:sz w:val="21"/>
                <w:szCs w:val="21"/>
              </w:rPr>
              <w:t>INFORMACJE OGÓLNE</w:t>
            </w:r>
          </w:p>
        </w:tc>
      </w:tr>
      <w:tr>
        <w:trPr>
          <w:trHeight w:val="411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1.</w:t>
            </w:r>
          </w:p>
        </w:tc>
        <w:tc>
          <w:tcPr>
            <w:tcW w:w="4598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Producent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Podać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03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Model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Podać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373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Sprzęt fabrycznie nowy, wyprodukowany nie wcześniej niż w 2025 roku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Podać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630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Autoryzacja producenta na serwis gwarancyjny i pogwarancyjny oferowanego aparatu lub umowa z autoryzowanym serwisem w Polsce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TAK, załączyć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630" w:hRule="atLeast"/>
        </w:trPr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</w:p>
        </w:tc>
        <w:tc>
          <w:tcPr>
            <w:tcW w:w="4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Gwarancja min. 24 msc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TAK, podać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</w:tbl>
    <w:p>
      <w:pPr>
        <w:pStyle w:val="Normal"/>
        <w:rPr>
          <w:rFonts w:ascii="Times New Roman" w:hAnsi="Times New Roman" w:cs="Tahoma"/>
          <w:sz w:val="21"/>
          <w:szCs w:val="21"/>
        </w:rPr>
      </w:pPr>
      <w:r>
        <w:rPr>
          <w:rFonts w:cs="Tahoma"/>
          <w:sz w:val="21"/>
          <w:szCs w:val="21"/>
        </w:rPr>
      </w:r>
    </w:p>
    <w:p>
      <w:pPr>
        <w:pStyle w:val="Normal"/>
        <w:rPr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</w:p>
    <w:tbl>
      <w:tblPr>
        <w:tblW w:w="5000" w:type="pct"/>
        <w:jc w:val="left"/>
        <w:tblInd w:w="-294" w:type="dxa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643"/>
        <w:gridCol w:w="4602"/>
        <w:gridCol w:w="1656"/>
        <w:gridCol w:w="2170"/>
      </w:tblGrid>
      <w:tr>
        <w:trPr>
          <w:trHeight w:val="420" w:hRule="atLeast"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b/>
                <w:bCs/>
                <w:sz w:val="21"/>
                <w:szCs w:val="21"/>
              </w:rPr>
              <w:t>I 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b/>
                <w:sz w:val="21"/>
                <w:szCs w:val="21"/>
              </w:rPr>
              <w:t>Opis przedmiotu zamówienia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b/>
                <w:sz w:val="21"/>
                <w:szCs w:val="21"/>
              </w:rPr>
              <w:t xml:space="preserve">Wymogi graniczne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b/>
                <w:sz w:val="21"/>
                <w:szCs w:val="21"/>
              </w:rPr>
              <w:t xml:space="preserve">Odpowiedź Wykonawcy </w:t>
            </w:r>
          </w:p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b/>
                <w:sz w:val="21"/>
                <w:szCs w:val="21"/>
              </w:rPr>
              <w:t>TAK/NIE</w:t>
            </w:r>
          </w:p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b/>
                <w:sz w:val="21"/>
                <w:szCs w:val="21"/>
              </w:rPr>
              <w:t xml:space="preserve">Opisać </w:t>
            </w:r>
          </w:p>
        </w:tc>
      </w:tr>
      <w:tr>
        <w:trPr>
          <w:trHeight w:val="488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  <w:tc>
          <w:tcPr>
            <w:tcW w:w="8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b/>
                <w:sz w:val="21"/>
                <w:szCs w:val="21"/>
              </w:rPr>
              <w:t>KONSTRUKCJA I KONFIGURACJA</w:t>
            </w:r>
          </w:p>
        </w:tc>
      </w:tr>
      <w:tr>
        <w:trPr>
          <w:trHeight w:val="763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auto"/>
                <w:sz w:val="21"/>
                <w:szCs w:val="21"/>
              </w:rPr>
              <w:t>1.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color w:val="auto"/>
                <w:sz w:val="21"/>
                <w:szCs w:val="21"/>
              </w:rPr>
              <w:t>Mobilny ultrasonograf do badań położniczo-ginekologicznych z wbudowanym videoprinerem.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auto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color w:val="auto"/>
                <w:sz w:val="21"/>
                <w:szCs w:val="21"/>
              </w:rPr>
            </w:pPr>
            <w:r>
              <w:rPr>
                <w:rFonts w:cs="Tahoma"/>
                <w:color w:val="auto"/>
                <w:sz w:val="21"/>
                <w:szCs w:val="21"/>
              </w:rPr>
            </w:r>
          </w:p>
        </w:tc>
      </w:tr>
      <w:tr>
        <w:trPr>
          <w:trHeight w:val="915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2.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Monitor obrazowy wysokiej rozdzielczości min 1920x1080 pixeli, kolorowy, cyfrowy typu LED, OLED lub LCD o przekątnej ekranu min 21".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620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3.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Możliwość zmiany wysokości pulpitu operatora wraz z monitorem (minimum 18 cm)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620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4.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Kolorowy ekran dotykowy (Touch Screen) o przekątnej min.14” i rozdzielczości min. 1920x1080 pixeli do sterowania niektórymi funkcjami aparatu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711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5.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Szerokość podstawy i monitora nie większa niż 55 cm. Ciężar aparatu mniejszy niż 65 kg (bez urządzeń peryferyjnych i głowic)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711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6.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4 skrętne koła wyposażone w hamulce toczenia (min. 3) i minimum 1 koło z możliwością blokady do jazdy na wprost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679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7.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Ilość aktywnych, równoważnych gniazd do przyłączenia głowic obrazowych min. 3.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20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8.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Ilość kanałów przetwarzania min. 9.000.000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25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9.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Dynamika systemu, min. 380 dB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25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10.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Wbudowany dysk stały (SSD) o pojemności min. 500 GB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25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11. 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Zasilanie sieciowe zgodne z PN.</w:t>
            </w:r>
          </w:p>
          <w:p>
            <w:pPr>
              <w:pStyle w:val="Norma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Możliwość rozbudowy o zasilanie akumulatorowe umożliwiające minimum 35 minut normalnej pracy aparatu.</w:t>
            </w:r>
          </w:p>
          <w:p>
            <w:pPr>
              <w:pStyle w:val="Norma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(wyklucza się zewnętrzny UPS)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25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12.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Wbudowane oprogramowanie do kontroli jakości głowic obrazowych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25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13.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Możliwość zaprogramowania minimum 3 klawiszy do szybkiego, jednoczesnego wyboru głowicy i presetu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555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b/>
                <w:bCs/>
                <w:sz w:val="21"/>
                <w:szCs w:val="21"/>
              </w:rPr>
              <w:t>II.</w:t>
            </w:r>
          </w:p>
        </w:tc>
        <w:tc>
          <w:tcPr>
            <w:tcW w:w="8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b/>
                <w:bCs/>
                <w:spacing w:val="-2"/>
                <w:sz w:val="21"/>
                <w:szCs w:val="21"/>
              </w:rPr>
              <w:t>OBRAZOWANIE I PREZENTACJA OBRAZU</w:t>
            </w:r>
          </w:p>
        </w:tc>
      </w:tr>
      <w:tr>
        <w:trPr>
          <w:trHeight w:val="420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1.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B-mode.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561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2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Maksymalna głębokość obrazowania &gt; 40 cm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561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3.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Maksymalna prędkość obrazowania B &gt; 2.500 obrazów/s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20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3.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Obrazowanie w układzie skrzyżowanych ultradźwięków (nadawanie i odbiór) - minimum 7 stopni ustawienia (np. Sono CT)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685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4.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Cyfrowa filtracja szumów „specklowych” – wygładzanie ziarnistości obrazu B bez utraty rozdzielczości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369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5.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Obrazowanie z redukcją cieni ultradźwiękowych na obrazach 2D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18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6.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Podział ekranu na min. 4 obrazy.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551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7.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Zoom dla obrazów „na żywo" i zatrzymanych. Całkowita wielkość powiększenia ≥ 20x.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19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8.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Regulacja zasięgowa wzmocnienia, minimum 8 punktowa.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701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9.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Obrazowanie harmoniczne na wszystkich oferowanych głowicach.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685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10.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Liczba obrazów w trybie B w pamięci dynamicznej </w:t>
              <w:br/>
              <w:t>CINE &gt; 13.000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564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11.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Maksymalna długość filmu 2D w pamięci CINE &gt; 500 s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564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12.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Możliwość prospektywnego (start/stop) lub retrospektywnego (wstecz do zatrzymania) zapisu obrazów w pamięci CINE.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15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13.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M-mode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594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14.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Anatomiczny M-mode (minimum 2 linie M jednocześnie)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 ilość linii M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29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15.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Doppler Kolorowy (CD).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709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16.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Maksymalna obrazowana prędkość przepływu w kolorowym dopplerze bez aliasingu &gt; 4,0 m/s.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709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17.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Maksymalna prędkość obrazowania w trybie kolor doppler </w:t>
              <w:br/>
              <w:t>&gt; 700 obrazów/s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709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18.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Pseudotrójwymiarowy tryb wizualizacji przepływu krwi, służący do intuicyjnej pomocy zrozumienia struktury przepływu krwi (np. S-Flow, RadiantFlow, SMI lub inna zgodnie z nomenklaturą producenta).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709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19.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Funkcja automatycznego doboru skali w trybach PW-doppler i kolor doppler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709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20.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M-mode w trybie kolor doppler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20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21.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Power Doppler (PD).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20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22.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Kierunkowy power doppler o zwiększonej czułości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395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23.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Doppler pulsacyjny (PWD).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556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24.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Maksymalna mierzona prędkość przy zerowym kącie korekcji w dopplerze pulsacyjnym  ≥ 8,0 m/s.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77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25.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Regulacja wielkości bramki PW-dopplera w zakresie obejmującym przedział 0,5-20 mm.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77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26.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Korekcja kąta w zakresie minimum ±85°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77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27.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Minimum 5 różnych prędkości przesuwu spektrum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678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28.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Możliwość regulacji położenia linii bazowej, skali, korekcji kąta i prędkości przesuwu na obrazach w trybie dopplera spektralnego zapisanych na dysku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91" w:hRule="atLeast"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29.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Triplex-mode (B+CD/PD+PWD) w czasie rzeczywistym.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91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30.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Możliwość wyświetlenia na podzielonym ekranie w czasie rzeczywistym obrazów w trybie B i B+kolor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91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31.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Histogram, analiza obrazu w trybie B lub kolor doppler.</w:t>
            </w:r>
          </w:p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Możliwość porównania minimum 2 obszarów ROI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91" w:hRule="atLeast"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32.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Obrazowanie panoramiczne (minimum 50 cm)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91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33.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Obrazowanie 3D/4D z głowic objętościowych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91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34.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Ilość obrazów w trybie B składających się na obraz 3D ≥ 4000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91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35.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Prędkość obrazowania 4D &gt; 35 obrazów 3D/s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91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36.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Liczba objętości w trybie 4D w pamięci dynamicznej CINE &gt; 350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91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37.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Obrazowanie tomograficzne – jednoczesne obrazowanie minimum 7 równoległych warstw z możliwością ustawienia ich położenia i odległości między nimi – w czasie rzeczywistym i na zapamiętanych obrazach 3D.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 ilość warstw</w:t>
            </w:r>
          </w:p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02" w:hRule="atLeast"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b/>
                <w:bCs/>
                <w:sz w:val="21"/>
                <w:szCs w:val="21"/>
              </w:rPr>
              <w:t>III.</w:t>
            </w:r>
          </w:p>
        </w:tc>
        <w:tc>
          <w:tcPr>
            <w:tcW w:w="8428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b/>
                <w:bCs/>
                <w:sz w:val="21"/>
                <w:szCs w:val="21"/>
              </w:rPr>
              <w:t>POMIARY</w:t>
            </w:r>
          </w:p>
        </w:tc>
      </w:tr>
      <w:tr>
        <w:trPr>
          <w:trHeight w:val="504" w:hRule="atLeast"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1.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Pomiar odległości, obwodu, pola powierzchni, objętości.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1814" w:hRule="atLeast"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2.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Pomiary ginekologiczne:</w:t>
            </w:r>
          </w:p>
          <w:p>
            <w:pPr>
              <w:pStyle w:val="Normal"/>
              <w:suppressAutoHyphens w:val="true"/>
              <w:ind w:left="174" w:hanging="0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macica (długość, szerokość, wysokość);</w:t>
            </w:r>
          </w:p>
          <w:p>
            <w:pPr>
              <w:pStyle w:val="Normal"/>
              <w:suppressAutoHyphens w:val="true"/>
              <w:ind w:left="174" w:hanging="0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objętość jajników (z trzech wymiarów liniowych);</w:t>
            </w:r>
          </w:p>
          <w:p>
            <w:pPr>
              <w:pStyle w:val="Normal"/>
              <w:suppressAutoHyphens w:val="true"/>
              <w:ind w:left="174" w:hanging="0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endometrium;</w:t>
            </w:r>
          </w:p>
          <w:p>
            <w:pPr>
              <w:pStyle w:val="Normal"/>
              <w:suppressAutoHyphens w:val="true"/>
              <w:ind w:left="174" w:hanging="0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długość szyjki macicy;</w:t>
            </w:r>
          </w:p>
          <w:p>
            <w:pPr>
              <w:pStyle w:val="Normal"/>
              <w:suppressAutoHyphens w:val="true"/>
              <w:ind w:left="174" w:hanging="0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pomiary pęcherzyków;</w:t>
            </w:r>
          </w:p>
          <w:p>
            <w:pPr>
              <w:pStyle w:val="Normal"/>
              <w:ind w:left="174" w:hanging="0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tętnice jajników: PS, ED, RI.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989" w:hRule="atLeast"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3.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Automatyczny obrys spektrum dopplerowskiego i automatyczne wyznaczenie parametrów przepływu (min. PI, RI, HR) na wykresie spektrum w czasie rzeczywistym, na obrazach zatrzymanych i odtwarzanych z archiwum.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533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4.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Pomiary i kalkulacje położnicze, w tym AFI, waga płodu.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br/>
              <w:t>TAK, podać</w:t>
              <w:br/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58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5.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Automatyczny pomiar BPD i HC na obrazie główki płodu (automatyczny obrys i wyznaczenie wartości).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664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6.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Automatyczny pomiar AC, FL i HL na obrazie brzuszka lub kończyny płodu (automatyczny obrys i wyznaczenie wartości).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684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7.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Protokół IOTA do oceny i zmian  nowotworowych guzów jajnika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25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8.</w:t>
            </w:r>
          </w:p>
        </w:tc>
        <w:tc>
          <w:tcPr>
            <w:tcW w:w="46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Pomiary Z- SCORE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43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9.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Raport z badania ginekologicznego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20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10.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Raport z badania położniczego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687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11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Raport z badania położniczego w ciąży mnogiej, min. dla 3 płodów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569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12.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Graficzna prezentacja pomiarów na siatce centylowej.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20" w:hRule="atLeast"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b/>
                <w:bCs/>
                <w:sz w:val="21"/>
                <w:szCs w:val="21"/>
              </w:rPr>
              <w:t>IV.</w:t>
            </w:r>
          </w:p>
        </w:tc>
        <w:tc>
          <w:tcPr>
            <w:tcW w:w="842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b/>
                <w:bCs/>
                <w:sz w:val="21"/>
                <w:szCs w:val="21"/>
              </w:rPr>
              <w:t>GŁOWICE ULTADŹWIĘKOWE</w:t>
            </w:r>
          </w:p>
        </w:tc>
      </w:tr>
      <w:tr>
        <w:trPr>
          <w:trHeight w:val="564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b/>
                <w:bCs/>
                <w:sz w:val="21"/>
                <w:szCs w:val="21"/>
              </w:rPr>
              <w:t>A.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b/>
                <w:sz w:val="21"/>
                <w:szCs w:val="21"/>
              </w:rPr>
              <w:t>GŁOWICA CONVEX 2D do badań położniczych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bCs/>
                <w:spacing w:val="-2"/>
                <w:sz w:val="21"/>
                <w:szCs w:val="21"/>
              </w:rPr>
              <w:t>TAK, podać typ głowicy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686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1.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Zakres częstotliwości obrazowania  obejmujący przedział  </w:t>
              <w:br/>
              <w:t>2,5 – 4,5 MHz.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39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2.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Ilość elementów: &gt; 190 kryształów.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76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3.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Kąt obrazowania w trybie B &gt; 110º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76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4.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Głębokość obrazowania &gt; 40 cm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624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5.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Obrazowanie w trybie krzyżujących się ultradźwięków (compounding)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TAK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20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6.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Obrazowanie harmoniczne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564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b/>
                <w:bCs/>
                <w:sz w:val="21"/>
                <w:szCs w:val="21"/>
              </w:rPr>
              <w:t>B.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b/>
                <w:sz w:val="21"/>
                <w:szCs w:val="21"/>
              </w:rPr>
              <w:t>GŁOWICA OBJĘTOŚCIOWA ENDOVAGINALNA 2D/3D/4D do badań ginekologicznych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bCs/>
                <w:spacing w:val="-2"/>
                <w:sz w:val="21"/>
                <w:szCs w:val="21"/>
              </w:rPr>
              <w:t>TAK, podać typ głowicy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686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1.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Zakres częstotliwości obejmujący przedział  4,0 – 9,0 MHz.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39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2.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Ilość elementów: &gt; 190 kryształów.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76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3.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Kąt obrazowania w trybie B &gt; 182º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76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4.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Obszar skanowania 3D/4D minimum 182° x 120°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76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4.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Głębokość obrazowania &gt; 17 cm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624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5.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Obrazowanie w trybie krzyżujących się ultradźwięków (compounding)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TAK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20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6.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Obrazowanie harmoniczne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20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7.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Możliwość odchylenia płaszczyzny skanowania w obrazowaniu 2D o minimum ± 45° bez zmiany położenia głowicy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706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b/>
                <w:bCs/>
                <w:sz w:val="21"/>
                <w:szCs w:val="21"/>
              </w:rPr>
              <w:t>C.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b/>
                <w:sz w:val="21"/>
                <w:szCs w:val="21"/>
              </w:rPr>
              <w:t xml:space="preserve">GŁOWICA LINIOWA 2D 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bCs/>
                <w:spacing w:val="-2"/>
                <w:sz w:val="21"/>
                <w:szCs w:val="21"/>
              </w:rPr>
              <w:t>TAK, podać typ głowicy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703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1.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Zakres częstotliwości obrazowania obejmujący przedział </w:t>
              <w:br/>
              <w:t>4,0 – 7,5 MHz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11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2.</w:t>
            </w:r>
          </w:p>
        </w:tc>
        <w:tc>
          <w:tcPr>
            <w:tcW w:w="46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Obrazowanie w technice harmonicznej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558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3.</w:t>
            </w:r>
          </w:p>
        </w:tc>
        <w:tc>
          <w:tcPr>
            <w:tcW w:w="46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Szerokość pola obrazowania w trybie B z zakresu </w:t>
              <w:br/>
              <w:t>42 – 45 mm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391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4.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Głębokość penetracji &gt; 13 cm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269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5.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Ilość elementów min 192 kryształy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 ilość kryształów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26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6.</w:t>
            </w:r>
          </w:p>
        </w:tc>
        <w:tc>
          <w:tcPr>
            <w:tcW w:w="46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Obrazowanie trapezowe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551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7.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Tryby pracy: B, PW-doppler, kolor doppler, Power Doppler.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551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b/>
                <w:bCs/>
                <w:sz w:val="21"/>
                <w:szCs w:val="21"/>
              </w:rPr>
              <w:t>V.</w:t>
            </w:r>
          </w:p>
        </w:tc>
        <w:tc>
          <w:tcPr>
            <w:tcW w:w="8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b/>
                <w:bCs/>
                <w:sz w:val="21"/>
                <w:szCs w:val="21"/>
              </w:rPr>
              <w:t>ARCHIWIZACJA</w:t>
            </w:r>
          </w:p>
        </w:tc>
      </w:tr>
      <w:tr>
        <w:trPr>
          <w:trHeight w:val="421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1.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Videoprinter monochromatyczny formatu A6.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555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2.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Możliwość podłączenia bezpośrednio do aparatu drukarki kolorowej laserowej do wydruku raportów i obrazów.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988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3.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Archiwizacja danych pacjentów, raportów i obrazów na lokalnym dysku SDD o pojemności minimum 500 GB. Wielkość partycji przeznaczona na archiwum większa niż 420 GB.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984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4.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Możliwość kopiowania archiwum (obrazy, filmy, wyniki pomiarów, raporty) na zewnętrzne dyski SSD lub HDD o pojemności minimum 500 GB przez gniazdo USB3.0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701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5.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Możliwość zapisu obrazów na pamięci USB PenDrive w formatach avi i jpeg przez gniazdo USB 3.0.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389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6.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Gniazdo wyjściowe obrazu z aparatu typu HDMI. </w:t>
            </w:r>
          </w:p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Co najmniej po jednym gnieździe USB 3.0 typu A i typu C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268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7.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Interfejs sieciowy DICOM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268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8.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Możliwość eksportu danych 3D w formatach drukarek 3D (minimum STL, OBJ, PLY, XYZ)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551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b/>
                <w:bCs/>
                <w:sz w:val="21"/>
                <w:szCs w:val="21"/>
              </w:rPr>
              <w:t>VI.</w:t>
            </w:r>
          </w:p>
        </w:tc>
        <w:tc>
          <w:tcPr>
            <w:tcW w:w="8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b/>
                <w:bCs/>
                <w:spacing w:val="-2"/>
                <w:sz w:val="21"/>
                <w:szCs w:val="21"/>
              </w:rPr>
              <w:t>MOŻLIWOŚCI ROZBUDOWY</w:t>
            </w:r>
          </w:p>
        </w:tc>
      </w:tr>
      <w:tr>
        <w:trPr>
          <w:trHeight w:val="551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1.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Bazujące na danych 3D obrazowanie przekroju poprzecznego zadanego po swobodnej krzywej, na zdublowanym na ekranie dotykowym obrazie,  przekroju wzdłużnym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551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2.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Bazująca na danych 3D, wspierana przez sztuczną inteligencję, automatyczna metoda wspomagająca uzyskanie prawidłowych przekrojów i pomiarów w badaniu uroginekologicznym (dna miednicy)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551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3.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Bazująca na danych 3D, wspierana przez sztuczną inteligencję, automatyczna metoda mapowania mięśniaków, wspomagająca wykrywanie konturu macicy i endometrium względem wielkości i położenia mięśniaków.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813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4.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Oprogramowanie do automatycznego obrysu struktury i automatycznego obliczania objętości na obrazach w trybie 3D z funkcją obliczania % unaczynienia tkanki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535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5.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Możliwość podłączenia bezprzewodowych głowic typu convex (ok. 3,5 MHz, min. 120 kryształów) i liniowej (ok. 7,5 MHz, min. 190 kryształów). Ciężar głowic &lt; 250g.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535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6.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Głowica sektorowa noworodkowa o zakresie częstotliwości obrazowania B obejmującym przedział od 5,0 do 11,0 MHz, ilość elementów min. 90, kąt obrazowania min. 90°.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421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7.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Elastografia z oferowanej głowicy endovaginalnej.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551" w:hRule="atLeast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8.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Automatyczny pomiar Cerebellum, VP oraz CM</w:t>
            </w:r>
          </w:p>
          <w:p>
            <w:pPr>
              <w:pStyle w:val="Normal"/>
              <w:rPr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Automatyczny pomiar NT i IT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rFonts w:cs="Tahoma"/>
                <w:color w:val="000000"/>
                <w:sz w:val="21"/>
                <w:szCs w:val="21"/>
              </w:rPr>
              <w:t>TAK, podać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</w:tbl>
    <w:p>
      <w:pPr>
        <w:pStyle w:val="Normal"/>
        <w:numPr>
          <w:ilvl w:val="0"/>
          <w:numId w:val="0"/>
        </w:numPr>
        <w:suppressAutoHyphens w:val="true"/>
        <w:overflowPunct w:val="true"/>
        <w:spacing w:lineRule="auto" w:line="276"/>
        <w:ind w:left="437" w:hanging="0"/>
        <w:jc w:val="both"/>
        <w:rPr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numPr>
          <w:ilvl w:val="0"/>
          <w:numId w:val="0"/>
        </w:numPr>
        <w:suppressAutoHyphens w:val="true"/>
        <w:overflowPunct w:val="true"/>
        <w:spacing w:lineRule="auto" w:line="276"/>
        <w:ind w:left="437" w:hanging="0"/>
        <w:jc w:val="both"/>
        <w:rPr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</w:p>
    <w:tbl>
      <w:tblPr>
        <w:tblStyle w:val="Tabela-Siatka"/>
        <w:tblW w:w="9465" w:type="dxa"/>
        <w:jc w:val="left"/>
        <w:tblInd w:w="-322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0"/>
        <w:gridCol w:w="4544"/>
        <w:gridCol w:w="1275"/>
        <w:gridCol w:w="3195"/>
      </w:tblGrid>
      <w:tr>
        <w:trPr>
          <w:trHeight w:val="375" w:hRule="atLeast"/>
        </w:trPr>
        <w:tc>
          <w:tcPr>
            <w:tcW w:w="9464" w:type="dxa"/>
            <w:gridSpan w:val="4"/>
            <w:tcBorders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GWARANCJA</w:t>
            </w:r>
          </w:p>
        </w:tc>
      </w:tr>
      <w:tr>
        <w:trPr>
          <w:trHeight w:val="607" w:hRule="atLeast"/>
        </w:trPr>
        <w:tc>
          <w:tcPr>
            <w:tcW w:w="450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uppressLineNumbers/>
              <w:ind w:left="360" w:hanging="360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544" w:type="dxa"/>
            <w:tcBorders/>
            <w:vAlign w:val="center"/>
          </w:tcPr>
          <w:p>
            <w:pPr>
              <w:pStyle w:val="Normal"/>
              <w:suppressAutoHyphens w:val="true"/>
              <w:snapToGrid w:val="false"/>
              <w:rPr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Gwarancja i serwis – min. 24-m-cy </w:t>
            </w:r>
            <w:r>
              <w:rPr>
                <w:rFonts w:eastAsia="Arial Unicode MS" w:cs="Times New Roman"/>
                <w:kern w:val="2"/>
                <w:sz w:val="21"/>
                <w:szCs w:val="21"/>
                <w:lang w:eastAsia="zh-CN" w:bidi="hi-IN"/>
              </w:rPr>
              <w:t xml:space="preserve">w tym bezpłatne przeglądy w każdym roku eksploatacji 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uppressAutoHyphens w:val="true"/>
              <w:snapToGrid w:val="false"/>
              <w:jc w:val="center"/>
              <w:rPr>
                <w:sz w:val="21"/>
                <w:szCs w:val="21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ar-SA"/>
              </w:rPr>
              <w:t>TAK/podać</w:t>
            </w:r>
          </w:p>
        </w:tc>
        <w:tc>
          <w:tcPr>
            <w:tcW w:w="3195" w:type="dxa"/>
            <w:tcBorders/>
          </w:tcPr>
          <w:p>
            <w:pPr>
              <w:pStyle w:val="Normal"/>
              <w:suppressAutoHyphens w:val="true"/>
              <w:snapToGrid w:val="false"/>
              <w:rPr>
                <w:rFonts w:ascii="Times New Roman" w:hAnsi="Times New Roman" w:eastAsia="Times New Roman" w:cs="Times New Roman"/>
                <w:sz w:val="21"/>
                <w:szCs w:val="21"/>
                <w:lang w:eastAsia="ar-SA"/>
              </w:rPr>
            </w:pPr>
            <w:r>
              <w:rPr>
                <w:rFonts w:eastAsia="Times New Roman" w:cs="Times New Roman"/>
                <w:sz w:val="21"/>
                <w:szCs w:val="21"/>
                <w:lang w:eastAsia="ar-SA"/>
              </w:rPr>
            </w:r>
          </w:p>
        </w:tc>
      </w:tr>
      <w:tr>
        <w:trPr>
          <w:trHeight w:val="1368" w:hRule="atLeast"/>
        </w:trPr>
        <w:tc>
          <w:tcPr>
            <w:tcW w:w="450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uppressLineNumbers/>
              <w:ind w:left="360" w:hanging="360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544" w:type="dxa"/>
            <w:tcBorders/>
            <w:vAlign w:val="center"/>
          </w:tcPr>
          <w:p>
            <w:pPr>
              <w:pStyle w:val="Normal"/>
              <w:suppressAutoHyphens w:val="true"/>
              <w:snapToGrid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Bezpłatne przeglądy sprzętu wraz z wymianą zestawów serwisowych zalecanych przez Producenta i wpisem do paszportu. Harmonogram przeglądów winien być ustalany na koniec każdego roku pracy sprzętu.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uppressAutoHyphens w:val="true"/>
              <w:snapToGrid w:val="false"/>
              <w:jc w:val="center"/>
              <w:rPr>
                <w:sz w:val="21"/>
                <w:szCs w:val="21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ar-SA"/>
              </w:rPr>
              <w:t>TAK</w:t>
            </w:r>
          </w:p>
        </w:tc>
        <w:tc>
          <w:tcPr>
            <w:tcW w:w="3195" w:type="dxa"/>
            <w:tcBorders/>
          </w:tcPr>
          <w:p>
            <w:pPr>
              <w:pStyle w:val="Normal"/>
              <w:suppressAutoHyphens w:val="true"/>
              <w:snapToGrid w:val="false"/>
              <w:rPr>
                <w:rFonts w:ascii="Times New Roman" w:hAnsi="Times New Roman" w:eastAsia="Times New Roman" w:cs="Times New Roman"/>
                <w:sz w:val="21"/>
                <w:szCs w:val="21"/>
                <w:lang w:eastAsia="ar-SA"/>
              </w:rPr>
            </w:pPr>
            <w:r>
              <w:rPr>
                <w:rFonts w:eastAsia="Times New Roman" w:cs="Times New Roman"/>
                <w:sz w:val="21"/>
                <w:szCs w:val="21"/>
                <w:lang w:eastAsia="ar-SA"/>
              </w:rPr>
            </w:r>
          </w:p>
        </w:tc>
      </w:tr>
      <w:tr>
        <w:trPr>
          <w:trHeight w:val="4973" w:hRule="atLeast"/>
        </w:trPr>
        <w:tc>
          <w:tcPr>
            <w:tcW w:w="450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uppressLineNumbers/>
              <w:ind w:left="360" w:hanging="360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544" w:type="dxa"/>
            <w:tcBorders/>
            <w:vAlign w:val="center"/>
          </w:tcPr>
          <w:p>
            <w:pPr>
              <w:pStyle w:val="Normal"/>
              <w:suppressAutoHyphens w:val="true"/>
              <w:snapToGrid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Zobowiązanie do bezpłatnej wymiany przedmiotu zamówienia na nowy w okresie gwarancji w przypadku wystąpienia trzech awarii tego samego elementu/podzespołu, których usunięcie związane będzie z wymianą części lub podzespołów. Wykonawca zobowiązuje się przystąpić do naprawy uszkodzonego elementu w czasie nie dłuższym niż 48 godziny od chwili zgłoszenia awarii w dni robocze od poniedziałku do piątku z wyłączeniem dni ustawowo wolnych od pracy. W przypadku konieczności sprowadzenia części zamiennych z zagranicy w terminie 7 dni roboczych (rozumianych jako dni od poniedziałku do piątku z wyłączeniem dni ustawowo wolnych od pracy) od momentu zgłoszenia awarii sprzętu przez Zamawiającego. Gwarancja ulega automatycznemu przedłużeniu o każdy kolejny dzień wyłączenia z użytku. Dokumentem potwierdzającym wyłączenie z użytku jest zgłoszenie awarii. Ponowne wprowadzenie przedmiotu zamówienia do użytku jest dokument odbioru naprawionego sprzętu podpisany przez Zamawiającego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uppressAutoHyphens w:val="true"/>
              <w:snapToGrid w:val="false"/>
              <w:jc w:val="center"/>
              <w:rPr>
                <w:sz w:val="21"/>
                <w:szCs w:val="21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ar-SA"/>
              </w:rPr>
              <w:t>TAK</w:t>
            </w:r>
          </w:p>
        </w:tc>
        <w:tc>
          <w:tcPr>
            <w:tcW w:w="3195" w:type="dxa"/>
            <w:tcBorders/>
          </w:tcPr>
          <w:p>
            <w:pPr>
              <w:pStyle w:val="Normal"/>
              <w:suppressAutoHyphens w:val="true"/>
              <w:snapToGrid w:val="false"/>
              <w:rPr>
                <w:rFonts w:ascii="Times New Roman" w:hAnsi="Times New Roman" w:eastAsia="Times New Roman" w:cs="Times New Roman"/>
                <w:sz w:val="21"/>
                <w:szCs w:val="21"/>
                <w:lang w:eastAsia="ar-SA"/>
              </w:rPr>
            </w:pPr>
            <w:r>
              <w:rPr>
                <w:rFonts w:eastAsia="Times New Roman" w:cs="Times New Roman"/>
                <w:sz w:val="21"/>
                <w:szCs w:val="21"/>
                <w:lang w:eastAsia="ar-SA"/>
              </w:rPr>
            </w:r>
          </w:p>
        </w:tc>
      </w:tr>
      <w:tr>
        <w:trPr>
          <w:trHeight w:val="852" w:hRule="atLeast"/>
        </w:trPr>
        <w:tc>
          <w:tcPr>
            <w:tcW w:w="450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uppressLineNumbers/>
              <w:ind w:left="360" w:hanging="360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544" w:type="dxa"/>
            <w:tcBorders/>
            <w:vAlign w:val="center"/>
          </w:tcPr>
          <w:p>
            <w:pPr>
              <w:pStyle w:val="Normal"/>
              <w:suppressAutoHyphens w:val="true"/>
              <w:snapToGrid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Serwis pogwarancyjny, odpłatny przez okres min. 10 lat oraz gwarancja zapewnienia zakupu części zamiennych przez okres 10 lat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uppressAutoHyphens w:val="true"/>
              <w:snapToGrid w:val="false"/>
              <w:jc w:val="center"/>
              <w:rPr>
                <w:sz w:val="21"/>
                <w:szCs w:val="21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ar-SA"/>
              </w:rPr>
              <w:t>TAK</w:t>
            </w:r>
          </w:p>
        </w:tc>
        <w:tc>
          <w:tcPr>
            <w:tcW w:w="3195" w:type="dxa"/>
            <w:tcBorders/>
          </w:tcPr>
          <w:p>
            <w:pPr>
              <w:pStyle w:val="Normal"/>
              <w:suppressAutoHyphens w:val="true"/>
              <w:snapToGrid w:val="false"/>
              <w:rPr>
                <w:rFonts w:ascii="Times New Roman" w:hAnsi="Times New Roman" w:eastAsia="Times New Roman" w:cs="Times New Roman"/>
                <w:sz w:val="21"/>
                <w:szCs w:val="21"/>
                <w:lang w:eastAsia="ar-SA"/>
              </w:rPr>
            </w:pPr>
            <w:r>
              <w:rPr>
                <w:rFonts w:eastAsia="Times New Roman" w:cs="Times New Roman"/>
                <w:sz w:val="21"/>
                <w:szCs w:val="21"/>
                <w:lang w:eastAsia="ar-SA"/>
              </w:rPr>
            </w:r>
          </w:p>
        </w:tc>
      </w:tr>
      <w:tr>
        <w:trPr>
          <w:trHeight w:val="396" w:hRule="atLeast"/>
        </w:trPr>
        <w:tc>
          <w:tcPr>
            <w:tcW w:w="450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uppressLineNumbers/>
              <w:ind w:left="360" w:hanging="360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544" w:type="dxa"/>
            <w:tcBorders/>
            <w:vAlign w:val="center"/>
          </w:tcPr>
          <w:p>
            <w:pPr>
              <w:pStyle w:val="Normal"/>
              <w:suppressAutoHyphens w:val="true"/>
              <w:snapToGrid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Punkty serwisowe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uppressAutoHyphens w:val="true"/>
              <w:snapToGrid w:val="false"/>
              <w:jc w:val="center"/>
              <w:rPr>
                <w:sz w:val="21"/>
                <w:szCs w:val="21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ar-SA"/>
              </w:rPr>
              <w:t>TAK/podać</w:t>
            </w:r>
          </w:p>
        </w:tc>
        <w:tc>
          <w:tcPr>
            <w:tcW w:w="3195" w:type="dxa"/>
            <w:tcBorders/>
          </w:tcPr>
          <w:p>
            <w:pPr>
              <w:pStyle w:val="Normal"/>
              <w:suppressAutoHyphens w:val="true"/>
              <w:snapToGrid w:val="false"/>
              <w:rPr>
                <w:rFonts w:ascii="Times New Roman" w:hAnsi="Times New Roman" w:eastAsia="Times New Roman" w:cs="Times New Roman"/>
                <w:sz w:val="21"/>
                <w:szCs w:val="21"/>
                <w:lang w:eastAsia="ar-SA"/>
              </w:rPr>
            </w:pPr>
            <w:r>
              <w:rPr>
                <w:rFonts w:eastAsia="Times New Roman" w:cs="Times New Roman"/>
                <w:sz w:val="21"/>
                <w:szCs w:val="21"/>
                <w:lang w:eastAsia="ar-SA"/>
              </w:rPr>
            </w:r>
          </w:p>
        </w:tc>
      </w:tr>
      <w:tr>
        <w:trPr>
          <w:trHeight w:val="866" w:hRule="atLeast"/>
        </w:trPr>
        <w:tc>
          <w:tcPr>
            <w:tcW w:w="450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uppressLineNumbers/>
              <w:ind w:left="360" w:hanging="360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544" w:type="dxa"/>
            <w:tcBorders/>
            <w:vAlign w:val="center"/>
          </w:tcPr>
          <w:p>
            <w:pPr>
              <w:pStyle w:val="Normal"/>
              <w:suppressAutoHyphens w:val="true"/>
              <w:snapToGrid w:val="false"/>
              <w:textAlignment w:val="baseline"/>
              <w:rPr>
                <w:sz w:val="21"/>
                <w:szCs w:val="21"/>
              </w:rPr>
            </w:pPr>
            <w:r>
              <w:rPr>
                <w:rFonts w:eastAsia="Arial Unicode MS" w:cs="Times New Roman"/>
                <w:kern w:val="2"/>
                <w:sz w:val="21"/>
                <w:szCs w:val="21"/>
                <w:lang w:eastAsia="zh-CN" w:bidi="hi-IN"/>
              </w:rPr>
              <w:t>Gwarancja aktualizacji oprogramowania do najnowszej dostępnej wersji na rynku przez okres 36 m-cy od dnia odbioru, podczas każdego wykonywanego przeglądu .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uppressAutoHyphens w:val="true"/>
              <w:snapToGrid w:val="false"/>
              <w:jc w:val="center"/>
              <w:rPr>
                <w:sz w:val="21"/>
                <w:szCs w:val="21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ar-SA"/>
              </w:rPr>
              <w:t>TAK</w:t>
            </w:r>
          </w:p>
        </w:tc>
        <w:tc>
          <w:tcPr>
            <w:tcW w:w="3195" w:type="dxa"/>
            <w:tcBorders/>
          </w:tcPr>
          <w:p>
            <w:pPr>
              <w:pStyle w:val="Normal"/>
              <w:suppressAutoHyphens w:val="true"/>
              <w:snapToGrid w:val="false"/>
              <w:rPr>
                <w:rFonts w:ascii="Times New Roman" w:hAnsi="Times New Roman" w:eastAsia="Times New Roman" w:cs="Times New Roman"/>
                <w:sz w:val="21"/>
                <w:szCs w:val="21"/>
                <w:lang w:eastAsia="ar-SA"/>
              </w:rPr>
            </w:pPr>
            <w:r>
              <w:rPr>
                <w:rFonts w:eastAsia="Times New Roman" w:cs="Times New Roman"/>
                <w:sz w:val="21"/>
                <w:szCs w:val="21"/>
                <w:lang w:eastAsia="ar-SA"/>
              </w:rPr>
            </w:r>
          </w:p>
        </w:tc>
      </w:tr>
      <w:tr>
        <w:trPr>
          <w:trHeight w:val="576" w:hRule="atLeast"/>
        </w:trPr>
        <w:tc>
          <w:tcPr>
            <w:tcW w:w="450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uppressLineNumbers/>
              <w:ind w:left="360" w:hanging="360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544" w:type="dxa"/>
            <w:tcBorders/>
            <w:vAlign w:val="center"/>
          </w:tcPr>
          <w:p>
            <w:pPr>
              <w:pStyle w:val="Normal"/>
              <w:suppressAutoHyphens w:val="true"/>
              <w:snapToGrid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Dokumentacja techniczna, instrukcja obsługi, użytkowania w języku polskim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uppressAutoHyphens w:val="true"/>
              <w:snapToGrid w:val="false"/>
              <w:jc w:val="center"/>
              <w:rPr>
                <w:sz w:val="21"/>
                <w:szCs w:val="21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ar-SA"/>
              </w:rPr>
              <w:t>TAK</w:t>
            </w:r>
          </w:p>
        </w:tc>
        <w:tc>
          <w:tcPr>
            <w:tcW w:w="3195" w:type="dxa"/>
            <w:tcBorders/>
          </w:tcPr>
          <w:p>
            <w:pPr>
              <w:pStyle w:val="Normal"/>
              <w:suppressAutoHyphens w:val="true"/>
              <w:snapToGrid w:val="false"/>
              <w:rPr>
                <w:rFonts w:ascii="Times New Roman" w:hAnsi="Times New Roman" w:eastAsia="Times New Roman" w:cs="Times New Roman"/>
                <w:sz w:val="21"/>
                <w:szCs w:val="21"/>
                <w:lang w:eastAsia="ar-SA"/>
              </w:rPr>
            </w:pPr>
            <w:r>
              <w:rPr>
                <w:rFonts w:eastAsia="Times New Roman" w:cs="Times New Roman"/>
                <w:sz w:val="21"/>
                <w:szCs w:val="21"/>
                <w:lang w:eastAsia="ar-SA"/>
              </w:rPr>
            </w:r>
          </w:p>
        </w:tc>
      </w:tr>
      <w:tr>
        <w:trPr>
          <w:trHeight w:val="336" w:hRule="atLeast"/>
        </w:trPr>
        <w:tc>
          <w:tcPr>
            <w:tcW w:w="450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uppressLineNumbers/>
              <w:ind w:left="360" w:hanging="360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544" w:type="dxa"/>
            <w:tcBorders/>
            <w:vAlign w:val="center"/>
          </w:tcPr>
          <w:p>
            <w:pPr>
              <w:pStyle w:val="Normal"/>
              <w:suppressAutoHyphens w:val="true"/>
              <w:snapToGrid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Deklaracja zgodności CE dołączona do oferty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suppressAutoHyphens w:val="true"/>
              <w:snapToGrid w:val="false"/>
              <w:jc w:val="center"/>
              <w:rPr>
                <w:sz w:val="21"/>
                <w:szCs w:val="21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ar-SA"/>
              </w:rPr>
              <w:t>TAK</w:t>
            </w:r>
          </w:p>
        </w:tc>
        <w:tc>
          <w:tcPr>
            <w:tcW w:w="3195" w:type="dxa"/>
            <w:tcBorders/>
          </w:tcPr>
          <w:p>
            <w:pPr>
              <w:pStyle w:val="Normal"/>
              <w:suppressAutoHyphens w:val="true"/>
              <w:snapToGrid w:val="false"/>
              <w:rPr>
                <w:rFonts w:ascii="Times New Roman" w:hAnsi="Times New Roman" w:eastAsia="Times New Roman" w:cs="Times New Roman"/>
                <w:sz w:val="21"/>
                <w:szCs w:val="21"/>
                <w:lang w:eastAsia="ar-SA"/>
              </w:rPr>
            </w:pPr>
            <w:r>
              <w:rPr>
                <w:rFonts w:eastAsia="Times New Roman" w:cs="Times New Roman"/>
                <w:sz w:val="21"/>
                <w:szCs w:val="21"/>
                <w:lang w:eastAsia="ar-SA"/>
              </w:rPr>
            </w:r>
          </w:p>
        </w:tc>
      </w:tr>
    </w:tbl>
    <w:p>
      <w:pPr>
        <w:pStyle w:val="Normal"/>
        <w:numPr>
          <w:ilvl w:val="0"/>
          <w:numId w:val="0"/>
        </w:numPr>
        <w:suppressAutoHyphens w:val="true"/>
        <w:overflowPunct w:val="true"/>
        <w:spacing w:lineRule="auto" w:line="276"/>
        <w:ind w:left="437" w:hanging="0"/>
        <w:jc w:val="both"/>
        <w:rPr>
          <w:sz w:val="21"/>
          <w:szCs w:val="21"/>
        </w:rPr>
      </w:pPr>
      <w:r>
        <w:rPr>
          <w:rFonts w:eastAsia="Times New Roman" w:cs="Times New Roman"/>
          <w:sz w:val="21"/>
          <w:szCs w:val="21"/>
          <w:lang w:eastAsia="ar-SA"/>
        </w:rPr>
        <w:t xml:space="preserve"> </w:t>
      </w:r>
    </w:p>
    <w:p>
      <w:pPr>
        <w:pStyle w:val="Normal"/>
        <w:widowControl/>
        <w:numPr>
          <w:ilvl w:val="0"/>
          <w:numId w:val="0"/>
        </w:numPr>
        <w:suppressAutoHyphens w:val="true"/>
        <w:overflowPunct w:val="true"/>
        <w:bidi w:val="0"/>
        <w:spacing w:lineRule="auto" w:line="276" w:before="0" w:after="0"/>
        <w:ind w:left="0" w:right="0" w:hanging="0"/>
        <w:jc w:val="both"/>
        <w:rPr>
          <w:sz w:val="21"/>
          <w:szCs w:val="21"/>
        </w:rPr>
      </w:pPr>
      <w:r>
        <w:rPr>
          <w:rFonts w:eastAsia="Times New Roman" w:cs="Times New Roman"/>
          <w:sz w:val="21"/>
          <w:szCs w:val="21"/>
          <w:lang w:eastAsia="ar-SA"/>
        </w:rPr>
        <w:t xml:space="preserve">1. W przypadku zastosowania w powyższej dokumentacji nazw dostawców, producentów, materiałów, </w:t>
      </w:r>
      <w:r>
        <w:rPr>
          <w:sz w:val="21"/>
          <w:szCs w:val="21"/>
        </w:rPr>
        <w:t>urządzeń lub ich elementów, znaków towarowych, patentów lub pochodzenia, źródła lub szczególnego procesu, który charakteryzuje produkty lub usługi dostarczane przez konkretnego wykonawcę, Zamawiający traktuje takie użycia - zgodnie z art. 99 ust. 4 Pzp - jako określenie minimalnych wymaganych parametrów przedmiotu zamówienia za pomocą podania standardu. Równocześnie Zamawiający dopuszcza możliwość zastosowania innych odpowiedników rynkowych, równoważnych ze wskazanymi z zastrzeżeniem jednak, że nie będą one gorsze pod względem parametrów technicznych, jakościowych i eksploatacyjnych od podanych i zagwarantują uzyskanie takich samych (lub lepszych) parametrów technicznych, oraz będą posiadać niezbędne atesty i dopuszczenia do stosowania. W takiej sytuacji Wykonawca ma obowiązek dołączyć do oferty niezbędne certyfikaty, aprobaty techniczne, karty techniczne itp. dotyczące oferowanego przedmiotu zamówienia, z których jednoznacznie będzie wynikać, iż stanowią one produkty równoważne do opisanych przez Zamawiającego.</w:t>
      </w:r>
    </w:p>
    <w:p>
      <w:pPr>
        <w:pStyle w:val="Normal"/>
        <w:widowControl/>
        <w:numPr>
          <w:ilvl w:val="0"/>
          <w:numId w:val="0"/>
        </w:numPr>
        <w:suppressAutoHyphens w:val="true"/>
        <w:overflowPunct w:val="true"/>
        <w:bidi w:val="0"/>
        <w:spacing w:lineRule="auto" w:line="276" w:before="0" w:after="0"/>
        <w:ind w:left="0" w:right="0" w:hanging="0"/>
        <w:jc w:val="both"/>
        <w:rPr>
          <w:sz w:val="21"/>
          <w:szCs w:val="21"/>
        </w:rPr>
      </w:pPr>
      <w:r>
        <w:rPr>
          <w:sz w:val="21"/>
          <w:szCs w:val="21"/>
        </w:rPr>
        <w:t>2. W przypadku odniesienia w załączonej do SWZ dokumentacji do norm, ocen technicznych, aprobat, specyfikacji technicznych i systemów referencji technicznych Zamawiający dopuszcza - zgodnie z art. 101 ust. 4 Pzp. - rozwiązania równoważne opisywanym.</w:t>
      </w:r>
    </w:p>
    <w:p>
      <w:pPr>
        <w:pStyle w:val="Normal"/>
        <w:spacing w:lineRule="auto" w:line="276"/>
        <w:rPr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spacing w:lineRule="auto" w:line="276"/>
        <w:rPr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widowControl/>
        <w:suppressAutoHyphens w:val="true"/>
        <w:overflowPunct w:val="true"/>
        <w:bidi w:val="0"/>
        <w:spacing w:lineRule="auto" w:line="276" w:before="0" w:after="0"/>
        <w:ind w:left="0" w:right="0" w:hanging="0"/>
        <w:jc w:val="left"/>
        <w:rPr>
          <w:sz w:val="21"/>
          <w:szCs w:val="21"/>
        </w:rPr>
      </w:pPr>
      <w:r>
        <w:rPr>
          <w:sz w:val="21"/>
          <w:szCs w:val="21"/>
          <w:u w:val="single"/>
        </w:rPr>
        <w:t>Oświadczenie Wykonawcy:</w:t>
      </w:r>
    </w:p>
    <w:p>
      <w:pPr>
        <w:pStyle w:val="Normal"/>
        <w:widowControl/>
        <w:numPr>
          <w:ilvl w:val="0"/>
          <w:numId w:val="2"/>
        </w:numPr>
        <w:suppressAutoHyphens w:val="true"/>
        <w:overflowPunct w:val="true"/>
        <w:bidi w:val="0"/>
        <w:spacing w:lineRule="auto" w:line="276" w:before="0" w:after="0"/>
        <w:ind w:left="0" w:right="0" w:hanging="0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Oświadczamy, że przedstawione powyżej dane są prawdziwe oraz zobowiązujemy się </w:t>
      </w:r>
    </w:p>
    <w:p>
      <w:pPr>
        <w:pStyle w:val="Normal"/>
        <w:widowControl/>
        <w:numPr>
          <w:ilvl w:val="0"/>
          <w:numId w:val="0"/>
        </w:numPr>
        <w:suppressAutoHyphens w:val="true"/>
        <w:overflowPunct w:val="true"/>
        <w:bidi w:val="0"/>
        <w:spacing w:lineRule="auto" w:line="276" w:before="0" w:after="0"/>
        <w:ind w:left="-57" w:right="0" w:hanging="0"/>
        <w:jc w:val="left"/>
        <w:rPr>
          <w:sz w:val="21"/>
          <w:szCs w:val="21"/>
        </w:rPr>
      </w:pPr>
      <w:r>
        <w:rPr>
          <w:sz w:val="21"/>
          <w:szCs w:val="21"/>
        </w:rPr>
        <w:t>w przypadku wygrania przetargu do dostarczenia sprzętu spełniającego wyspecyfikowane parametry.</w:t>
      </w:r>
    </w:p>
    <w:p>
      <w:pPr>
        <w:pStyle w:val="Normal"/>
        <w:widowControl/>
        <w:numPr>
          <w:ilvl w:val="0"/>
          <w:numId w:val="2"/>
        </w:numPr>
        <w:suppressAutoHyphens w:val="true"/>
        <w:overflowPunct w:val="true"/>
        <w:bidi w:val="0"/>
        <w:spacing w:lineRule="auto" w:line="276" w:before="0" w:after="0"/>
        <w:ind w:left="0" w:right="0" w:hanging="0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Oświadczamy, że oferowany powyżej wyspecyfikowany sprzęt jest kompletny i po zainstalowaniu będzie gotowy do eksploatacji, bez żadnych dodatkowych zakupów i inwestycji (poza materiałami </w:t>
      </w:r>
      <w:r>
        <w:rPr>
          <w:rFonts w:eastAsia="Times New Roman" w:cs="Times New Roman"/>
          <w:sz w:val="21"/>
          <w:szCs w:val="21"/>
          <w:lang w:eastAsia="ar-SA"/>
        </w:rPr>
        <w:t>eksploatacyjnymi).</w:t>
      </w:r>
    </w:p>
    <w:p>
      <w:pPr>
        <w:pStyle w:val="Style35"/>
        <w:widowControl/>
        <w:suppressAutoHyphens w:val="true"/>
        <w:snapToGrid w:val="false"/>
        <w:spacing w:lineRule="auto" w:line="276"/>
        <w:ind w:right="58" w:hanging="0"/>
        <w:jc w:val="center"/>
        <w:rPr>
          <w:rFonts w:ascii="Times New Roman" w:hAnsi="Times New Roman" w:cs="Times New Roman"/>
          <w:sz w:val="21"/>
          <w:szCs w:val="21"/>
          <w:highlight w:val="yellow"/>
        </w:rPr>
      </w:pPr>
      <w:r>
        <w:rPr>
          <w:rFonts w:cs="Times New Roman" w:ascii="Times New Roman" w:hAnsi="Times New Roman"/>
          <w:sz w:val="21"/>
          <w:szCs w:val="21"/>
          <w:highlight w:val="yellow"/>
        </w:rPr>
      </w:r>
    </w:p>
    <w:p>
      <w:pPr>
        <w:pStyle w:val="Normal"/>
        <w:rPr>
          <w:sz w:val="21"/>
          <w:szCs w:val="21"/>
        </w:rPr>
      </w:pPr>
      <w:r>
        <w:rPr>
          <w:rFonts w:cs="Arial"/>
          <w:sz w:val="21"/>
          <w:szCs w:val="21"/>
        </w:rPr>
        <w:tab/>
        <w:t xml:space="preserve">  </w:t>
        <w:tab/>
        <w:tab/>
        <w:tab/>
        <w:tab/>
        <w:tab/>
        <w:tab/>
      </w:r>
    </w:p>
    <w:p>
      <w:pPr>
        <w:pStyle w:val="Normal"/>
        <w:ind w:left="4956" w:firstLine="708"/>
        <w:rPr>
          <w:sz w:val="21"/>
          <w:szCs w:val="21"/>
        </w:rPr>
      </w:pPr>
      <w:r>
        <w:rPr>
          <w:rFonts w:cs="Times New Roman"/>
          <w:sz w:val="21"/>
          <w:szCs w:val="21"/>
        </w:rPr>
        <w:t xml:space="preserve">................................................................       </w:t>
        <w:tab/>
        <w:t>Pieczęć i podpis osoby uprawnionej</w:t>
      </w:r>
    </w:p>
    <w:p>
      <w:pPr>
        <w:pStyle w:val="Normal"/>
        <w:ind w:left="5664" w:hanging="0"/>
        <w:rPr>
          <w:sz w:val="21"/>
          <w:szCs w:val="21"/>
        </w:rPr>
      </w:pPr>
      <w:r>
        <w:rPr>
          <w:rFonts w:cs="Times New Roman"/>
          <w:sz w:val="21"/>
          <w:szCs w:val="21"/>
        </w:rPr>
        <w:t xml:space="preserve">       </w:t>
      </w:r>
      <w:r>
        <w:rPr>
          <w:rFonts w:cs="Times New Roman"/>
          <w:sz w:val="21"/>
          <w:szCs w:val="21"/>
        </w:rPr>
        <w:t>do reprezentowania Wykonawcy</w:t>
      </w:r>
    </w:p>
    <w:sectPr>
      <w:footerReference w:type="default" r:id="rId2"/>
      <w:type w:val="nextPage"/>
      <w:pgSz w:w="11906" w:h="16838"/>
      <w:pgMar w:left="1417" w:right="1417" w:header="0" w:top="709" w:footer="1417" w:bottom="19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 Unicode MS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4</w:t>
    </w:r>
    <w:r>
      <w:rPr/>
      <w:fldChar w:fldCharType="end"/>
    </w:r>
    <w:r>
      <w:rPr/>
      <w:t>/</w:t>
    </w:r>
    <w:r>
      <w:rPr/>
      <w:fldChar w:fldCharType="begin"/>
    </w:r>
    <w:r>
      <w:rPr/>
      <w:instrText> NUMPAGES </w:instrText>
    </w:r>
    <w:r>
      <w:rPr/>
      <w:fldChar w:fldCharType="separate"/>
    </w:r>
    <w:r>
      <w:rPr/>
      <w:t>7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04edf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link w:val="Tekstpodstawowy"/>
    <w:uiPriority w:val="99"/>
    <w:qFormat/>
    <w:locked/>
    <w:rsid w:val="004b2644"/>
    <w:rPr>
      <w:sz w:val="24"/>
      <w:szCs w:val="24"/>
    </w:rPr>
  </w:style>
  <w:style w:type="character" w:styleId="TekstpodstawowyZnak1" w:customStyle="1">
    <w:name w:val="Tekst podstawowy Znak1"/>
    <w:basedOn w:val="DefaultParagraphFont"/>
    <w:uiPriority w:val="99"/>
    <w:semiHidden/>
    <w:qFormat/>
    <w:rsid w:val="004b2644"/>
    <w:rPr>
      <w:rFonts w:ascii="Times New Roman" w:hAnsi="Times New Roman" w:eastAsia="Times New Roman" w:cs="Times New Roman"/>
      <w:color w:val="00000A"/>
      <w:kern w:val="0"/>
      <w:sz w:val="24"/>
      <w:szCs w:val="24"/>
      <w:lang w:eastAsia="pl-PL"/>
      <w14:ligatures w14:val="none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be7d54"/>
    <w:rPr>
      <w:rFonts w:ascii="Times New Roman" w:hAnsi="Times New Roman" w:eastAsia="Times New Roman" w:cs="Times New Roman"/>
      <w:color w:val="00000A"/>
      <w:kern w:val="0"/>
      <w:sz w:val="24"/>
      <w:szCs w:val="24"/>
      <w:lang w:eastAsia="pl-PL"/>
      <w14:ligatures w14:val="none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be7d54"/>
    <w:rPr>
      <w:rFonts w:ascii="Times New Roman" w:hAnsi="Times New Roman" w:eastAsia="Times New Roman" w:cs="Times New Roman"/>
      <w:color w:val="00000A"/>
      <w:kern w:val="0"/>
      <w:sz w:val="24"/>
      <w:szCs w:val="24"/>
      <w:lang w:eastAsia="pl-PL"/>
      <w14:ligatures w14:val="none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4b2644"/>
    <w:pPr>
      <w:spacing w:before="0" w:after="120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lang w:eastAsia="en-US"/>
      <w14:ligatures w14:val="standardContextual"/>
    </w:rPr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nakZnak1" w:customStyle="1">
    <w:name w:val="Znak Znak1"/>
    <w:basedOn w:val="Normal"/>
    <w:qFormat/>
    <w:rsid w:val="00704edf"/>
    <w:pPr/>
    <w:rPr>
      <w:rFonts w:ascii="Arial" w:hAnsi="Arial" w:cs="Arial"/>
      <w:color w:val="auto"/>
    </w:rPr>
  </w:style>
  <w:style w:type="paragraph" w:styleId="Default" w:customStyle="1">
    <w:name w:val="Default"/>
    <w:qFormat/>
    <w:rsid w:val="00704edf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SimSun" w:cs="Times New Roman"/>
      <w:color w:val="000000"/>
      <w:kern w:val="0"/>
      <w:sz w:val="24"/>
      <w:szCs w:val="24"/>
      <w:lang w:val="pl-PL" w:eastAsia="zh-CN" w:bidi="ar-SA"/>
      <w14:ligatures w14:val="none"/>
    </w:rPr>
  </w:style>
  <w:style w:type="paragraph" w:styleId="ListParagraph">
    <w:name w:val="List Paragraph"/>
    <w:basedOn w:val="Normal"/>
    <w:uiPriority w:val="34"/>
    <w:qFormat/>
    <w:rsid w:val="00f467c0"/>
    <w:pPr>
      <w:spacing w:before="0" w:after="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be7d5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be7d5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kapitzlist">
    <w:name w:val="Akapit z listą"/>
    <w:basedOn w:val="Normal"/>
    <w:qFormat/>
    <w:pPr>
      <w:suppressAutoHyphens w:val="false"/>
      <w:ind w:left="720" w:right="0" w:hanging="0"/>
    </w:pPr>
    <w:rPr>
      <w:rFonts w:ascii="Calibri" w:hAnsi="Calibri" w:eastAsia="Calibri" w:cs="Calibri"/>
      <w:sz w:val="22"/>
      <w:szCs w:val="22"/>
    </w:rPr>
  </w:style>
  <w:style w:type="paragraph" w:styleId="Style35">
    <w:name w:val="Style35"/>
    <w:basedOn w:val="Normal"/>
    <w:qFormat/>
    <w:pPr>
      <w:widowControl w:val="false"/>
      <w:spacing w:lineRule="exact" w:line="254"/>
    </w:pPr>
    <w:rPr>
      <w:rFonts w:ascii="Arial Unicode MS" w:hAnsi="Arial Unicode MS" w:eastAsia="Arial Unicode MS" w:cs="Arial Unicode MS"/>
      <w:sz w:val="24"/>
      <w:szCs w:val="24"/>
      <w:lang w:eastAsia="pl-PL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Application>LibreOffice/6.4.7.2$Windows_X86_64 LibreOffice_project/639b8ac485750d5696d7590a72ef1b496725cfb5</Application>
  <Pages>7</Pages>
  <Words>1921</Words>
  <Characters>11606</Characters>
  <CharactersWithSpaces>13198</CharactersWithSpaces>
  <Paragraphs>394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2025-11-18T00:02:00Z</dcterms:created>
  <dc:creator/>
  <dc:description/>
  <dc:language>pl-PL</dc:language>
  <cp:lastModifiedBy/>
  <cp:lastPrinted>2025-11-21T13:48:04Z</cp:lastPrinted>
  <dcterms:modified xsi:type="dcterms:W3CDTF">2025-12-03T12:32:50Z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